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0D" w:rsidRDefault="00F5450D" w:rsidP="00F5450D">
      <w:pPr>
        <w:pStyle w:val="title7"/>
        <w:spacing w:before="0" w:after="0" w:afterAutospacing="0"/>
        <w:rPr>
          <w:rFonts w:asciiTheme="minorHAnsi" w:hAnsiTheme="minorHAnsi"/>
          <w:sz w:val="28"/>
        </w:rPr>
      </w:pPr>
    </w:p>
    <w:p w:rsidR="00EF1EDF" w:rsidRDefault="00EF1EDF" w:rsidP="00F5450D">
      <w:pPr>
        <w:pStyle w:val="title7"/>
        <w:spacing w:before="0" w:after="0" w:afterAutospacing="0"/>
        <w:rPr>
          <w:rFonts w:asciiTheme="minorHAnsi" w:hAnsiTheme="minorHAnsi"/>
          <w:sz w:val="28"/>
        </w:rPr>
      </w:pPr>
    </w:p>
    <w:p w:rsidR="00F5450D" w:rsidRPr="00F5450D" w:rsidRDefault="00F5450D" w:rsidP="00F5450D">
      <w:pPr>
        <w:pStyle w:val="title7"/>
        <w:spacing w:before="0" w:after="0" w:afterAutospacing="0"/>
        <w:rPr>
          <w:rFonts w:asciiTheme="minorHAnsi" w:hAnsiTheme="minorHAnsi"/>
          <w:sz w:val="28"/>
        </w:rPr>
      </w:pPr>
      <w:r w:rsidRPr="00F5450D">
        <w:rPr>
          <w:rFonts w:asciiTheme="minorHAnsi" w:hAnsiTheme="minorHAnsi"/>
          <w:sz w:val="28"/>
        </w:rPr>
        <w:t>THE ART OF ENGAGEMENT</w:t>
      </w:r>
    </w:p>
    <w:p w:rsidR="00F5450D" w:rsidRPr="00F5450D" w:rsidRDefault="00F5450D" w:rsidP="00F5450D">
      <w:pPr>
        <w:spacing w:line="360" w:lineRule="auto"/>
        <w:jc w:val="center"/>
        <w:rPr>
          <w:rFonts w:asciiTheme="minorHAnsi" w:eastAsia="Times New Roman" w:hAnsiTheme="minorHAnsi"/>
          <w:b/>
        </w:rPr>
      </w:pPr>
    </w:p>
    <w:p w:rsidR="00F5450D" w:rsidRDefault="009F58C0" w:rsidP="0049211C">
      <w:pPr>
        <w:rPr>
          <w:rFonts w:asciiTheme="minorHAnsi" w:hAnsiTheme="minorHAnsi"/>
          <w:sz w:val="24"/>
        </w:rPr>
      </w:pPr>
      <w:r>
        <w:rPr>
          <w:rFonts w:asciiTheme="minorHAnsi" w:hAnsiTheme="minorHAnsi"/>
          <w:sz w:val="24"/>
        </w:rPr>
        <w:t>Most of our nation’s not-for-profit organizations eventually come face-to-face with a fundraising challenge…</w:t>
      </w:r>
      <w:r w:rsidR="00F5450D" w:rsidRPr="00F5450D">
        <w:rPr>
          <w:rFonts w:asciiTheme="minorHAnsi" w:hAnsiTheme="minorHAnsi"/>
          <w:sz w:val="24"/>
        </w:rPr>
        <w:t xml:space="preserve"> “</w:t>
      </w:r>
      <w:r w:rsidR="00F5450D" w:rsidRPr="00F5450D">
        <w:rPr>
          <w:rFonts w:asciiTheme="minorHAnsi" w:hAnsiTheme="minorHAnsi"/>
          <w:i/>
          <w:sz w:val="24"/>
        </w:rPr>
        <w:t>In order to secure meaningful gifts, we need to engage potential donors in meaningful conversations</w:t>
      </w:r>
      <w:r w:rsidR="00F5450D" w:rsidRPr="00F5450D">
        <w:rPr>
          <w:rFonts w:asciiTheme="minorHAnsi" w:hAnsiTheme="minorHAnsi"/>
          <w:sz w:val="24"/>
        </w:rPr>
        <w:t xml:space="preserve">.” </w:t>
      </w:r>
      <w:r>
        <w:rPr>
          <w:rFonts w:asciiTheme="minorHAnsi" w:hAnsiTheme="minorHAnsi"/>
          <w:sz w:val="24"/>
        </w:rPr>
        <w:t xml:space="preserve"> When that challenge is faced by your organization, the following suggest</w:t>
      </w:r>
      <w:r w:rsidR="004571C5">
        <w:rPr>
          <w:rFonts w:asciiTheme="minorHAnsi" w:hAnsiTheme="minorHAnsi"/>
          <w:sz w:val="24"/>
        </w:rPr>
        <w:t>ions are offered in preparing yourself for meaningful conversations with potential major donors.</w:t>
      </w:r>
    </w:p>
    <w:p w:rsidR="004571C5" w:rsidRDefault="004571C5" w:rsidP="0049211C">
      <w:pPr>
        <w:rPr>
          <w:rFonts w:asciiTheme="minorHAnsi" w:hAnsiTheme="minorHAnsi"/>
          <w:sz w:val="24"/>
        </w:rPr>
      </w:pPr>
    </w:p>
    <w:p w:rsidR="004571C5" w:rsidRPr="004571C5" w:rsidRDefault="004571C5" w:rsidP="0049211C">
      <w:pPr>
        <w:spacing w:after="120"/>
        <w:jc w:val="center"/>
        <w:rPr>
          <w:rFonts w:asciiTheme="minorHAnsi" w:hAnsiTheme="minorHAnsi"/>
          <w:b/>
          <w:i/>
          <w:sz w:val="28"/>
        </w:rPr>
      </w:pPr>
      <w:r w:rsidRPr="004571C5">
        <w:rPr>
          <w:rFonts w:asciiTheme="minorHAnsi" w:hAnsiTheme="minorHAnsi"/>
          <w:b/>
          <w:i/>
          <w:sz w:val="28"/>
        </w:rPr>
        <w:t>Talking “Loud and Proud”</w:t>
      </w:r>
    </w:p>
    <w:p w:rsidR="00F5450D" w:rsidRDefault="004571C5" w:rsidP="0049211C">
      <w:pPr>
        <w:rPr>
          <w:rFonts w:asciiTheme="minorHAnsi" w:hAnsiTheme="minorHAnsi"/>
          <w:sz w:val="24"/>
        </w:rPr>
      </w:pPr>
      <w:r>
        <w:rPr>
          <w:rFonts w:asciiTheme="minorHAnsi" w:hAnsiTheme="minorHAnsi"/>
          <w:sz w:val="24"/>
        </w:rPr>
        <w:t>Every person in a leadership position – volunteer and staff alike – should be expected to engage people in meaningful conversations about their organ</w:t>
      </w:r>
      <w:r w:rsidR="008F3D9E">
        <w:rPr>
          <w:rFonts w:asciiTheme="minorHAnsi" w:hAnsiTheme="minorHAnsi"/>
          <w:sz w:val="24"/>
        </w:rPr>
        <w:t>ization; i.e. the people served, opportunities seized, problems addressed.</w:t>
      </w:r>
    </w:p>
    <w:p w:rsidR="004571C5" w:rsidRDefault="004571C5" w:rsidP="0049211C">
      <w:pPr>
        <w:rPr>
          <w:rFonts w:asciiTheme="minorHAnsi" w:hAnsiTheme="minorHAnsi"/>
          <w:sz w:val="24"/>
        </w:rPr>
      </w:pPr>
    </w:p>
    <w:p w:rsidR="004571C5" w:rsidRDefault="004571C5" w:rsidP="0049211C">
      <w:pPr>
        <w:rPr>
          <w:rFonts w:asciiTheme="minorHAnsi" w:hAnsiTheme="minorHAnsi"/>
          <w:sz w:val="24"/>
        </w:rPr>
      </w:pPr>
      <w:r>
        <w:rPr>
          <w:rFonts w:asciiTheme="minorHAnsi" w:hAnsiTheme="minorHAnsi"/>
          <w:sz w:val="24"/>
        </w:rPr>
        <w:t>Public relations studies have shown that the average person has 200 to 300 personal contacts each year in the course of their personal and business lives.  You can be assured that a handful of people that you talk “loud and proud” to about your organization will pass along some of what you expressed to others in their circle of personal contacts.  And, the ripples go on!</w:t>
      </w:r>
    </w:p>
    <w:p w:rsidR="00F5450D" w:rsidRPr="00F5450D" w:rsidRDefault="00F5450D" w:rsidP="0049211C">
      <w:pPr>
        <w:rPr>
          <w:rFonts w:asciiTheme="minorHAnsi" w:hAnsiTheme="minorHAnsi"/>
          <w:sz w:val="24"/>
        </w:rPr>
      </w:pPr>
    </w:p>
    <w:p w:rsidR="00F5450D" w:rsidRPr="004571C5" w:rsidRDefault="004571C5" w:rsidP="0049211C">
      <w:pPr>
        <w:spacing w:after="120"/>
        <w:jc w:val="center"/>
        <w:rPr>
          <w:rFonts w:asciiTheme="minorHAnsi" w:hAnsiTheme="minorHAnsi"/>
          <w:b/>
          <w:i/>
          <w:sz w:val="28"/>
        </w:rPr>
      </w:pPr>
      <w:r w:rsidRPr="004571C5">
        <w:rPr>
          <w:rFonts w:asciiTheme="minorHAnsi" w:hAnsiTheme="minorHAnsi"/>
          <w:b/>
          <w:i/>
          <w:sz w:val="28"/>
        </w:rPr>
        <w:t>“Fast Facts”</w:t>
      </w:r>
    </w:p>
    <w:p w:rsidR="00F5450D" w:rsidRDefault="0049211C" w:rsidP="0049211C">
      <w:pPr>
        <w:rPr>
          <w:rFonts w:asciiTheme="minorHAnsi" w:hAnsiTheme="minorHAnsi"/>
          <w:sz w:val="24"/>
        </w:rPr>
      </w:pPr>
      <w:r>
        <w:rPr>
          <w:rFonts w:asciiTheme="minorHAnsi" w:hAnsiTheme="minorHAnsi"/>
          <w:sz w:val="24"/>
        </w:rPr>
        <w:t>To most effectively talk loud and proud, you should be provided with “fast facts” that can quickly illustrate the essence of your organization’s mission, programs, and the value of gift support.  Facts and illustrations that respond to fundamental fundraising questions:</w:t>
      </w:r>
    </w:p>
    <w:p w:rsidR="0049211C" w:rsidRPr="00F5450D" w:rsidRDefault="0049211C" w:rsidP="0049211C">
      <w:pPr>
        <w:rPr>
          <w:rFonts w:asciiTheme="minorHAnsi" w:hAnsiTheme="minorHAnsi"/>
          <w:sz w:val="24"/>
        </w:rPr>
      </w:pPr>
    </w:p>
    <w:p w:rsidR="00F5450D" w:rsidRDefault="0049211C" w:rsidP="0049211C">
      <w:pPr>
        <w:ind w:left="720"/>
        <w:rPr>
          <w:rFonts w:asciiTheme="minorHAnsi" w:hAnsiTheme="minorHAnsi"/>
          <w:i/>
          <w:sz w:val="24"/>
        </w:rPr>
      </w:pPr>
      <w:r>
        <w:rPr>
          <w:rFonts w:asciiTheme="minorHAnsi" w:hAnsiTheme="minorHAnsi"/>
          <w:sz w:val="24"/>
        </w:rPr>
        <w:t>“Why should anyone give anything, at any time, to your organization?”</w:t>
      </w:r>
    </w:p>
    <w:p w:rsidR="00F5450D" w:rsidRPr="00F5450D" w:rsidRDefault="00F5450D" w:rsidP="0049211C">
      <w:pPr>
        <w:ind w:left="720"/>
        <w:rPr>
          <w:rFonts w:asciiTheme="minorHAnsi" w:hAnsiTheme="minorHAnsi"/>
          <w:i/>
          <w:sz w:val="24"/>
        </w:rPr>
      </w:pPr>
    </w:p>
    <w:p w:rsidR="00F5450D" w:rsidRDefault="0049211C" w:rsidP="0049211C">
      <w:pPr>
        <w:ind w:left="720"/>
        <w:rPr>
          <w:rFonts w:asciiTheme="minorHAnsi" w:hAnsiTheme="minorHAnsi"/>
          <w:i/>
          <w:sz w:val="24"/>
        </w:rPr>
      </w:pPr>
      <w:r>
        <w:rPr>
          <w:rFonts w:asciiTheme="minorHAnsi" w:hAnsiTheme="minorHAnsi"/>
          <w:i/>
          <w:sz w:val="24"/>
        </w:rPr>
        <w:t>“What will your organization be able to do more of, or do better, or avoid the risk of eliminating as a result of receiving solicited gift support?”</w:t>
      </w:r>
    </w:p>
    <w:p w:rsidR="00F5450D" w:rsidRPr="00F5450D" w:rsidRDefault="00F5450D" w:rsidP="0049211C">
      <w:pPr>
        <w:ind w:left="720"/>
        <w:rPr>
          <w:rFonts w:asciiTheme="minorHAnsi" w:hAnsiTheme="minorHAnsi"/>
          <w:i/>
          <w:sz w:val="24"/>
        </w:rPr>
      </w:pPr>
    </w:p>
    <w:p w:rsidR="0049211C" w:rsidRDefault="0049211C" w:rsidP="0049211C">
      <w:pPr>
        <w:rPr>
          <w:rFonts w:asciiTheme="minorHAnsi" w:hAnsiTheme="minorHAnsi"/>
          <w:sz w:val="24"/>
        </w:rPr>
      </w:pPr>
      <w:r w:rsidRPr="0049211C">
        <w:rPr>
          <w:rFonts w:asciiTheme="minorHAnsi" w:hAnsiTheme="minorHAnsi"/>
          <w:sz w:val="24"/>
        </w:rPr>
        <w:t>You should consider specific objectives for each personal engagement before meeting with potential major donors.  Objectives to be considered before attempting to discuss a major gift commitment, for example:</w:t>
      </w:r>
    </w:p>
    <w:p w:rsidR="0091637E" w:rsidRDefault="0091637E" w:rsidP="0049211C">
      <w:pPr>
        <w:rPr>
          <w:rFonts w:asciiTheme="minorHAnsi" w:hAnsiTheme="minorHAnsi"/>
          <w:sz w:val="24"/>
        </w:rPr>
      </w:pPr>
    </w:p>
    <w:p w:rsidR="0091637E" w:rsidRPr="00DC5292" w:rsidRDefault="0091637E" w:rsidP="00DC5292">
      <w:pPr>
        <w:pStyle w:val="ListParagraph"/>
        <w:numPr>
          <w:ilvl w:val="0"/>
          <w:numId w:val="10"/>
        </w:numPr>
        <w:rPr>
          <w:rFonts w:asciiTheme="minorHAnsi" w:hAnsiTheme="minorHAnsi"/>
          <w:sz w:val="24"/>
        </w:rPr>
      </w:pPr>
      <w:r w:rsidRPr="00DC5292">
        <w:rPr>
          <w:rFonts w:asciiTheme="minorHAnsi" w:hAnsiTheme="minorHAnsi"/>
          <w:sz w:val="24"/>
        </w:rPr>
        <w:t>Identify areas of the person’s interest related to your organization’s programs and activities</w:t>
      </w:r>
    </w:p>
    <w:p w:rsidR="0091637E" w:rsidRPr="00DC5292" w:rsidRDefault="0091637E" w:rsidP="00DC5292">
      <w:pPr>
        <w:pStyle w:val="ListParagraph"/>
        <w:numPr>
          <w:ilvl w:val="0"/>
          <w:numId w:val="10"/>
        </w:numPr>
        <w:rPr>
          <w:rFonts w:asciiTheme="minorHAnsi" w:hAnsiTheme="minorHAnsi"/>
          <w:sz w:val="24"/>
        </w:rPr>
      </w:pPr>
      <w:r w:rsidRPr="00DC5292">
        <w:rPr>
          <w:rFonts w:asciiTheme="minorHAnsi" w:hAnsiTheme="minorHAnsi"/>
          <w:sz w:val="24"/>
        </w:rPr>
        <w:t>Evaluate his/her interest and financial capacity to make a major gift</w:t>
      </w:r>
    </w:p>
    <w:p w:rsidR="0091637E" w:rsidRPr="00DC5292" w:rsidRDefault="0091637E" w:rsidP="00DC5292">
      <w:pPr>
        <w:pStyle w:val="ListParagraph"/>
        <w:numPr>
          <w:ilvl w:val="0"/>
          <w:numId w:val="10"/>
        </w:numPr>
        <w:rPr>
          <w:rFonts w:asciiTheme="minorHAnsi" w:hAnsiTheme="minorHAnsi"/>
          <w:sz w:val="24"/>
        </w:rPr>
      </w:pPr>
      <w:r w:rsidRPr="00DC5292">
        <w:rPr>
          <w:rFonts w:asciiTheme="minorHAnsi" w:hAnsiTheme="minorHAnsi"/>
          <w:sz w:val="24"/>
        </w:rPr>
        <w:t>Determine the best person(s) to encourage a major gift at the appropriate time</w:t>
      </w:r>
    </w:p>
    <w:p w:rsidR="0091637E" w:rsidRPr="00DC5292" w:rsidRDefault="0091637E" w:rsidP="00DC5292">
      <w:pPr>
        <w:pStyle w:val="ListParagraph"/>
        <w:numPr>
          <w:ilvl w:val="0"/>
          <w:numId w:val="10"/>
        </w:numPr>
        <w:rPr>
          <w:rFonts w:asciiTheme="minorHAnsi" w:hAnsiTheme="minorHAnsi"/>
          <w:sz w:val="24"/>
        </w:rPr>
      </w:pPr>
      <w:r w:rsidRPr="00DC5292">
        <w:rPr>
          <w:rFonts w:asciiTheme="minorHAnsi" w:hAnsiTheme="minorHAnsi"/>
          <w:sz w:val="24"/>
        </w:rPr>
        <w:t>Consider possible gift terms and conditions based on a potential donor’s previously expressed wishes and circumstances</w:t>
      </w:r>
    </w:p>
    <w:p w:rsidR="0091637E" w:rsidRPr="00DC5292" w:rsidRDefault="0091637E" w:rsidP="00DC5292">
      <w:pPr>
        <w:pStyle w:val="ListParagraph"/>
        <w:numPr>
          <w:ilvl w:val="0"/>
          <w:numId w:val="10"/>
        </w:numPr>
        <w:rPr>
          <w:rFonts w:asciiTheme="minorHAnsi" w:hAnsiTheme="minorHAnsi"/>
          <w:sz w:val="24"/>
        </w:rPr>
      </w:pPr>
      <w:r w:rsidRPr="00DC5292">
        <w:rPr>
          <w:rFonts w:asciiTheme="minorHAnsi" w:hAnsiTheme="minorHAnsi"/>
          <w:sz w:val="24"/>
        </w:rPr>
        <w:t>Determine appropriate donor recognition for the gift</w:t>
      </w:r>
    </w:p>
    <w:p w:rsidR="0091637E" w:rsidRDefault="0091637E" w:rsidP="0049211C">
      <w:pPr>
        <w:rPr>
          <w:rFonts w:asciiTheme="minorHAnsi" w:hAnsiTheme="minorHAnsi"/>
          <w:sz w:val="24"/>
        </w:rPr>
      </w:pPr>
    </w:p>
    <w:p w:rsidR="0091637E" w:rsidRDefault="0091637E" w:rsidP="0049211C">
      <w:pPr>
        <w:rPr>
          <w:rFonts w:asciiTheme="minorHAnsi" w:hAnsiTheme="minorHAnsi"/>
          <w:sz w:val="24"/>
        </w:rPr>
      </w:pPr>
      <w:r>
        <w:rPr>
          <w:rFonts w:asciiTheme="minorHAnsi" w:hAnsiTheme="minorHAnsi"/>
          <w:sz w:val="24"/>
        </w:rPr>
        <w:t>These objectives are not likely to be met in an initial discussion, and often take 6 to 18 months before you feel the potential major donor is ready to be asked fo</w:t>
      </w:r>
      <w:r w:rsidR="00511896">
        <w:rPr>
          <w:rFonts w:asciiTheme="minorHAnsi" w:hAnsiTheme="minorHAnsi"/>
          <w:sz w:val="24"/>
        </w:rPr>
        <w:t>r</w:t>
      </w:r>
      <w:r>
        <w:rPr>
          <w:rFonts w:asciiTheme="minorHAnsi" w:hAnsiTheme="minorHAnsi"/>
          <w:sz w:val="24"/>
        </w:rPr>
        <w:t xml:space="preserve"> consideration of a major gift.</w:t>
      </w:r>
    </w:p>
    <w:p w:rsidR="0091637E" w:rsidRDefault="0091637E" w:rsidP="008F3D9E">
      <w:pPr>
        <w:jc w:val="center"/>
        <w:rPr>
          <w:rFonts w:asciiTheme="minorHAnsi" w:hAnsiTheme="minorHAnsi"/>
          <w:b/>
          <w:i/>
          <w:sz w:val="28"/>
        </w:rPr>
      </w:pPr>
      <w:r>
        <w:rPr>
          <w:rFonts w:asciiTheme="minorHAnsi" w:hAnsiTheme="minorHAnsi"/>
          <w:sz w:val="24"/>
        </w:rPr>
        <w:br w:type="page"/>
      </w:r>
      <w:r w:rsidRPr="0091637E">
        <w:rPr>
          <w:rFonts w:asciiTheme="minorHAnsi" w:hAnsiTheme="minorHAnsi"/>
          <w:b/>
          <w:i/>
          <w:sz w:val="28"/>
        </w:rPr>
        <w:lastRenderedPageBreak/>
        <w:t xml:space="preserve">Defining Your Role </w:t>
      </w:r>
      <w:proofErr w:type="gramStart"/>
      <w:r w:rsidRPr="0091637E">
        <w:rPr>
          <w:rFonts w:asciiTheme="minorHAnsi" w:hAnsiTheme="minorHAnsi"/>
          <w:b/>
          <w:i/>
          <w:sz w:val="28"/>
        </w:rPr>
        <w:t>In</w:t>
      </w:r>
      <w:proofErr w:type="gramEnd"/>
      <w:r w:rsidRPr="0091637E">
        <w:rPr>
          <w:rFonts w:asciiTheme="minorHAnsi" w:hAnsiTheme="minorHAnsi"/>
          <w:b/>
          <w:i/>
          <w:sz w:val="28"/>
        </w:rPr>
        <w:t xml:space="preserve"> A Gift Solicitation</w:t>
      </w:r>
    </w:p>
    <w:p w:rsidR="008F3D9E" w:rsidRPr="0091637E" w:rsidRDefault="008F3D9E" w:rsidP="008F3D9E">
      <w:pPr>
        <w:jc w:val="center"/>
        <w:rPr>
          <w:rFonts w:asciiTheme="minorHAnsi" w:hAnsiTheme="minorHAnsi"/>
          <w:b/>
          <w:i/>
          <w:sz w:val="28"/>
        </w:rPr>
      </w:pPr>
    </w:p>
    <w:p w:rsidR="0091637E" w:rsidRDefault="0091637E" w:rsidP="008F3D9E">
      <w:pPr>
        <w:rPr>
          <w:rFonts w:asciiTheme="minorHAnsi" w:hAnsiTheme="minorHAnsi"/>
          <w:sz w:val="24"/>
        </w:rPr>
      </w:pPr>
      <w:r>
        <w:rPr>
          <w:rFonts w:asciiTheme="minorHAnsi" w:hAnsiTheme="minorHAnsi"/>
          <w:sz w:val="24"/>
        </w:rPr>
        <w:t xml:space="preserve">You may or may not be the person to personally solicit a meaningful gift from someone you have engaged in conversation.  But if you have applied the </w:t>
      </w:r>
      <w:r>
        <w:rPr>
          <w:rFonts w:asciiTheme="minorHAnsi" w:hAnsiTheme="minorHAnsi"/>
          <w:i/>
          <w:sz w:val="24"/>
        </w:rPr>
        <w:t>Art of Engagement</w:t>
      </w:r>
      <w:r>
        <w:rPr>
          <w:rFonts w:asciiTheme="minorHAnsi" w:hAnsiTheme="minorHAnsi"/>
          <w:sz w:val="24"/>
        </w:rPr>
        <w:t>, suggestions and communicated results to others in your organization, it is most likely your good efforts will lead to meaningful gifts.</w:t>
      </w:r>
    </w:p>
    <w:p w:rsidR="0091637E" w:rsidRDefault="0091637E" w:rsidP="0049211C">
      <w:pPr>
        <w:rPr>
          <w:rFonts w:asciiTheme="minorHAnsi" w:hAnsiTheme="minorHAnsi"/>
          <w:sz w:val="24"/>
        </w:rPr>
      </w:pPr>
    </w:p>
    <w:p w:rsidR="0091637E" w:rsidRDefault="0091637E" w:rsidP="0049211C">
      <w:pPr>
        <w:rPr>
          <w:rFonts w:asciiTheme="minorHAnsi" w:hAnsiTheme="minorHAnsi"/>
          <w:sz w:val="24"/>
        </w:rPr>
      </w:pPr>
    </w:p>
    <w:p w:rsidR="0091637E" w:rsidRDefault="0091637E" w:rsidP="0049211C">
      <w:pPr>
        <w:rPr>
          <w:rFonts w:asciiTheme="minorHAnsi" w:hAnsiTheme="minorHAnsi"/>
          <w:sz w:val="24"/>
        </w:rPr>
      </w:pPr>
      <w:bookmarkStart w:id="0" w:name="_GoBack"/>
      <w:bookmarkEnd w:id="0"/>
    </w:p>
    <w:p w:rsidR="0091637E" w:rsidRPr="0091637E" w:rsidRDefault="0091637E" w:rsidP="0049211C">
      <w:pPr>
        <w:rPr>
          <w:rFonts w:asciiTheme="minorHAnsi" w:hAnsiTheme="minorHAnsi"/>
          <w:sz w:val="24"/>
        </w:rPr>
      </w:pPr>
    </w:p>
    <w:sectPr w:rsidR="0091637E" w:rsidRPr="0091637E" w:rsidSect="009F608D">
      <w:footerReference w:type="default" r:id="rId8"/>
      <w:footerReference w:type="first" r:id="rId9"/>
      <w:pgSz w:w="12240" w:h="15840"/>
      <w:pgMar w:top="72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8D" w:rsidRDefault="009F608D" w:rsidP="00C6658C">
      <w:r>
        <w:separator/>
      </w:r>
    </w:p>
  </w:endnote>
  <w:endnote w:type="continuationSeparator" w:id="0">
    <w:p w:rsidR="009F608D" w:rsidRDefault="009F608D" w:rsidP="00C6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8C" w:rsidRDefault="00C6658C">
    <w:pPr>
      <w:pStyle w:val="Footer"/>
    </w:pPr>
  </w:p>
  <w:p w:rsidR="00C6658C" w:rsidRDefault="00FF258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7.8pt;margin-top:-14.5pt;width:544.65pt;height:32pt;z-index:251658240" fillcolor="#e8f0f8">
          <o:lock v:ext="edit" aspectratio="t"/>
          <v:textbox style="mso-next-textbox:#_x0000_s2049">
            <w:txbxContent>
              <w:p w:rsidR="00C6658C" w:rsidRPr="009F608D" w:rsidRDefault="00C6658C" w:rsidP="00C6658C">
                <w:pPr>
                  <w:jc w:val="both"/>
                  <w:rPr>
                    <w:i/>
                    <w:sz w:val="18"/>
                    <w:szCs w:val="18"/>
                  </w:rPr>
                </w:pPr>
                <w:r w:rsidRPr="009F608D">
                  <w:rPr>
                    <w:b/>
                    <w:i/>
                    <w:sz w:val="18"/>
                    <w:szCs w:val="18"/>
                  </w:rPr>
                  <w:t>Phillips Online.</w:t>
                </w:r>
                <w:r w:rsidRPr="009F608D">
                  <w:rPr>
                    <w:i/>
                    <w:sz w:val="18"/>
                    <w:szCs w:val="18"/>
                  </w:rPr>
                  <w:t xml:space="preserve">  All Rights Reserved.  This information has been prepared for the sole and exclusive use of Phillips Online </w:t>
                </w:r>
                <w:r w:rsidR="00460FE0">
                  <w:rPr>
                    <w:i/>
                    <w:sz w:val="18"/>
                    <w:szCs w:val="18"/>
                  </w:rPr>
                  <w:t>members</w:t>
                </w:r>
                <w:r w:rsidRPr="009F608D">
                  <w:rPr>
                    <w:i/>
                    <w:sz w:val="18"/>
                    <w:szCs w:val="18"/>
                  </w:rPr>
                  <w:t>, and must not be reproduced, in whole or in part or otherwise distributed without the prior written authorization of Phillips Online.</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8C" w:rsidRPr="00F22E14" w:rsidRDefault="00C6658C" w:rsidP="00C6658C">
    <w:pPr>
      <w:pStyle w:val="Footer"/>
      <w:jc w:val="center"/>
    </w:pPr>
    <w:r w:rsidRPr="00F22E14">
      <w:rPr>
        <w:rFonts w:asciiTheme="majorHAnsi" w:hAnsiTheme="majorHAnsi"/>
      </w:rPr>
      <w:t xml:space="preserve">~ </w:t>
    </w:r>
    <w:r w:rsidR="0020299E" w:rsidRPr="00F22E14">
      <w:fldChar w:fldCharType="begin"/>
    </w:r>
    <w:r w:rsidRPr="00F22E14">
      <w:instrText xml:space="preserve"> PAGE    \* MERGEFORMAT </w:instrText>
    </w:r>
    <w:r w:rsidR="0020299E" w:rsidRPr="00F22E14">
      <w:fldChar w:fldCharType="separate"/>
    </w:r>
    <w:r w:rsidR="00E73EE7" w:rsidRPr="00E73EE7">
      <w:rPr>
        <w:rFonts w:asciiTheme="majorHAnsi" w:hAnsiTheme="majorHAnsi"/>
        <w:noProof/>
      </w:rPr>
      <w:t>2</w:t>
    </w:r>
    <w:r w:rsidR="0020299E" w:rsidRPr="00F22E14">
      <w:fldChar w:fldCharType="end"/>
    </w:r>
    <w:r w:rsidRPr="00F22E14">
      <w:rPr>
        <w:rFonts w:asciiTheme="majorHAnsi" w:hAnsiTheme="maj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8D" w:rsidRDefault="009F608D" w:rsidP="00C6658C">
      <w:r>
        <w:separator/>
      </w:r>
    </w:p>
  </w:footnote>
  <w:footnote w:type="continuationSeparator" w:id="0">
    <w:p w:rsidR="009F608D" w:rsidRDefault="009F608D" w:rsidP="00C6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1C9"/>
    <w:multiLevelType w:val="hybridMultilevel"/>
    <w:tmpl w:val="DF1486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A1464F"/>
    <w:multiLevelType w:val="hybridMultilevel"/>
    <w:tmpl w:val="1F0214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7755DE"/>
    <w:multiLevelType w:val="hybridMultilevel"/>
    <w:tmpl w:val="C93C88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077E6B"/>
    <w:multiLevelType w:val="hybridMultilevel"/>
    <w:tmpl w:val="3A761D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D43AFC"/>
    <w:multiLevelType w:val="hybridMultilevel"/>
    <w:tmpl w:val="3F5AD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24FBA"/>
    <w:multiLevelType w:val="hybridMultilevel"/>
    <w:tmpl w:val="B666D9A4"/>
    <w:lvl w:ilvl="0" w:tplc="54BAF4E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E7E7F"/>
    <w:multiLevelType w:val="hybridMultilevel"/>
    <w:tmpl w:val="5972F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73F6F"/>
    <w:multiLevelType w:val="hybridMultilevel"/>
    <w:tmpl w:val="6D5CE3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954AC3"/>
    <w:multiLevelType w:val="hybridMultilevel"/>
    <w:tmpl w:val="DDB292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516DE2"/>
    <w:multiLevelType w:val="hybridMultilevel"/>
    <w:tmpl w:val="DD6C3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6"/>
  </w:num>
  <w:num w:numId="6">
    <w:abstractNumId w:val="4"/>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609"/>
    <w:rsid w:val="001B4818"/>
    <w:rsid w:val="001F2B97"/>
    <w:rsid w:val="0020299E"/>
    <w:rsid w:val="002C2073"/>
    <w:rsid w:val="0031192E"/>
    <w:rsid w:val="003C041C"/>
    <w:rsid w:val="004571C5"/>
    <w:rsid w:val="00460FE0"/>
    <w:rsid w:val="00465F39"/>
    <w:rsid w:val="0049211C"/>
    <w:rsid w:val="0049445D"/>
    <w:rsid w:val="00511896"/>
    <w:rsid w:val="0060492D"/>
    <w:rsid w:val="007F6A2F"/>
    <w:rsid w:val="008F3D9E"/>
    <w:rsid w:val="0091637E"/>
    <w:rsid w:val="009F58C0"/>
    <w:rsid w:val="009F608D"/>
    <w:rsid w:val="00A75DB8"/>
    <w:rsid w:val="00AA10DC"/>
    <w:rsid w:val="00AC6FB3"/>
    <w:rsid w:val="00B61FE6"/>
    <w:rsid w:val="00C65F73"/>
    <w:rsid w:val="00C6658C"/>
    <w:rsid w:val="00C704DF"/>
    <w:rsid w:val="00C832BC"/>
    <w:rsid w:val="00D96C03"/>
    <w:rsid w:val="00DC5292"/>
    <w:rsid w:val="00E73EE7"/>
    <w:rsid w:val="00EF1EDF"/>
    <w:rsid w:val="00F13609"/>
    <w:rsid w:val="00F22E14"/>
    <w:rsid w:val="00F5450D"/>
    <w:rsid w:val="00FB2483"/>
    <w:rsid w:val="00FC19F1"/>
    <w:rsid w:val="00FD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A2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58C"/>
    <w:pPr>
      <w:tabs>
        <w:tab w:val="center" w:pos="4680"/>
        <w:tab w:val="right" w:pos="9360"/>
      </w:tabs>
    </w:pPr>
  </w:style>
  <w:style w:type="character" w:customStyle="1" w:styleId="HeaderChar">
    <w:name w:val="Header Char"/>
    <w:basedOn w:val="DefaultParagraphFont"/>
    <w:link w:val="Header"/>
    <w:uiPriority w:val="99"/>
    <w:rsid w:val="00C6658C"/>
  </w:style>
  <w:style w:type="paragraph" w:styleId="Footer">
    <w:name w:val="footer"/>
    <w:basedOn w:val="Normal"/>
    <w:link w:val="FooterChar"/>
    <w:uiPriority w:val="99"/>
    <w:unhideWhenUsed/>
    <w:rsid w:val="00C6658C"/>
    <w:pPr>
      <w:tabs>
        <w:tab w:val="center" w:pos="4680"/>
        <w:tab w:val="right" w:pos="9360"/>
      </w:tabs>
    </w:pPr>
  </w:style>
  <w:style w:type="character" w:customStyle="1" w:styleId="FooterChar">
    <w:name w:val="Footer Char"/>
    <w:basedOn w:val="DefaultParagraphFont"/>
    <w:link w:val="Footer"/>
    <w:uiPriority w:val="99"/>
    <w:rsid w:val="00C6658C"/>
  </w:style>
  <w:style w:type="paragraph" w:styleId="ListParagraph">
    <w:name w:val="List Paragraph"/>
    <w:basedOn w:val="Normal"/>
    <w:uiPriority w:val="34"/>
    <w:qFormat/>
    <w:rsid w:val="007F6A2F"/>
    <w:pPr>
      <w:ind w:left="720"/>
      <w:contextualSpacing/>
    </w:pPr>
  </w:style>
  <w:style w:type="paragraph" w:customStyle="1" w:styleId="title7">
    <w:name w:val="title7"/>
    <w:basedOn w:val="Normal"/>
    <w:rsid w:val="00F5450D"/>
    <w:pPr>
      <w:spacing w:before="180" w:after="100" w:afterAutospacing="1"/>
      <w:jc w:val="center"/>
    </w:pPr>
    <w:rPr>
      <w:rFonts w:ascii="Times New Roman" w:eastAsiaTheme="minorHAnsi" w:hAnsi="Times New Roman"/>
      <w:b/>
      <w:bCs/>
      <w:color w:val="003556"/>
      <w:sz w:val="35"/>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Szpak</dc:creator>
  <cp:lastModifiedBy>Shelley</cp:lastModifiedBy>
  <cp:revision>3</cp:revision>
  <cp:lastPrinted>2016-03-23T20:37:00Z</cp:lastPrinted>
  <dcterms:created xsi:type="dcterms:W3CDTF">2016-03-23T20:37:00Z</dcterms:created>
  <dcterms:modified xsi:type="dcterms:W3CDTF">2016-03-23T20:37:00Z</dcterms:modified>
</cp:coreProperties>
</file>